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C8" w:rsidRPr="00E128A2" w:rsidRDefault="00915F63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128A2">
        <w:rPr>
          <w:rFonts w:ascii="Times New Roman" w:hAnsi="Times New Roman" w:cs="Times New Roman"/>
          <w:b/>
          <w:iCs/>
          <w:sz w:val="24"/>
          <w:szCs w:val="24"/>
          <w:u w:val="single"/>
        </w:rPr>
        <w:t>LOI n° 2020-624 du 14 août 2020 instituant Code de l ’Urbanisme</w:t>
      </w:r>
      <w:r w:rsidR="00D4646E" w:rsidRPr="00E128A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E128A2">
        <w:rPr>
          <w:rFonts w:ascii="Times New Roman" w:hAnsi="Times New Roman" w:cs="Times New Roman"/>
          <w:b/>
          <w:iCs/>
          <w:sz w:val="24"/>
          <w:szCs w:val="24"/>
          <w:u w:val="single"/>
        </w:rPr>
        <w:t>et du Domaine foncier urbain.</w:t>
      </w:r>
    </w:p>
    <w:p w:rsidR="00915F63" w:rsidRPr="00E128A2" w:rsidRDefault="00915F63" w:rsidP="00E128A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4E0E" w:rsidRPr="00AB4E0E" w:rsidRDefault="00AB4E0E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B4E0E">
        <w:rPr>
          <w:rFonts w:ascii="Times New Roman" w:hAnsi="Times New Roman" w:cs="Times New Roman"/>
          <w:b/>
          <w:iCs/>
          <w:sz w:val="24"/>
          <w:szCs w:val="24"/>
          <w:u w:val="single"/>
        </w:rPr>
        <w:t>Définitions</w:t>
      </w:r>
    </w:p>
    <w:p w:rsidR="00AB4E0E" w:rsidRDefault="00AB4E0E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02C4" w:rsidRPr="008B02C4" w:rsidRDefault="00DB62FB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02C4">
        <w:rPr>
          <w:rFonts w:ascii="Times New Roman" w:hAnsi="Times New Roman" w:cs="Times New Roman"/>
          <w:b/>
          <w:iCs/>
          <w:sz w:val="24"/>
          <w:szCs w:val="24"/>
        </w:rPr>
        <w:t>Domaine</w:t>
      </w:r>
      <w:r w:rsidR="008B02C4" w:rsidRPr="008B02C4">
        <w:rPr>
          <w:rFonts w:ascii="Times New Roman" w:hAnsi="Times New Roman" w:cs="Times New Roman"/>
          <w:b/>
          <w:iCs/>
          <w:sz w:val="24"/>
          <w:szCs w:val="24"/>
        </w:rPr>
        <w:t xml:space="preserve"> foncier urbain.</w:t>
      </w:r>
    </w:p>
    <w:p w:rsidR="00915F63" w:rsidRPr="00E128A2" w:rsidRDefault="008B02C4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L’ensemble</w:t>
      </w:r>
      <w:r w:rsidR="00915F63" w:rsidRPr="00E128A2">
        <w:rPr>
          <w:rFonts w:ascii="Times New Roman" w:hAnsi="Times New Roman" w:cs="Times New Roman"/>
          <w:sz w:val="24"/>
          <w:szCs w:val="24"/>
        </w:rPr>
        <w:t xml:space="preserve"> des terres du domaine</w:t>
      </w:r>
      <w:r w:rsidR="00DB62FB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sz w:val="24"/>
          <w:szCs w:val="24"/>
        </w:rPr>
        <w:t>privé ou public de l’Etat couvert par les documents d’urbanisme</w:t>
      </w:r>
    </w:p>
    <w:p w:rsidR="00915F63" w:rsidRPr="00E128A2" w:rsidRDefault="00915F63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2C4" w:rsidRPr="008B02C4" w:rsidRDefault="00DB62FB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02C4">
        <w:rPr>
          <w:rFonts w:ascii="Times New Roman" w:hAnsi="Times New Roman" w:cs="Times New Roman"/>
          <w:b/>
          <w:iCs/>
          <w:sz w:val="24"/>
          <w:szCs w:val="24"/>
        </w:rPr>
        <w:t>Documents</w:t>
      </w:r>
      <w:r w:rsidR="008B02C4" w:rsidRPr="008B02C4">
        <w:rPr>
          <w:rFonts w:ascii="Times New Roman" w:hAnsi="Times New Roman" w:cs="Times New Roman"/>
          <w:b/>
          <w:iCs/>
          <w:sz w:val="24"/>
          <w:szCs w:val="24"/>
        </w:rPr>
        <w:t xml:space="preserve"> d'urbanisme.</w:t>
      </w:r>
    </w:p>
    <w:p w:rsidR="00915F63" w:rsidRPr="00E128A2" w:rsidRDefault="008B02C4" w:rsidP="008B02C4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Les</w:t>
      </w:r>
      <w:r w:rsidR="00915F63" w:rsidRPr="00E128A2">
        <w:rPr>
          <w:rFonts w:ascii="Times New Roman" w:hAnsi="Times New Roman" w:cs="Times New Roman"/>
          <w:sz w:val="24"/>
          <w:szCs w:val="24"/>
        </w:rPr>
        <w:t xml:space="preserve"> outils de planification urbaine.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sz w:val="24"/>
          <w:szCs w:val="24"/>
        </w:rPr>
        <w:t>On distingue les documents d’urbanisme opérationnels, prévisionnels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sz w:val="24"/>
          <w:szCs w:val="24"/>
        </w:rPr>
        <w:t>et réglementaires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915F63" w:rsidRPr="00E128A2" w:rsidRDefault="00915F63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F63" w:rsidRPr="00E128A2" w:rsidRDefault="008B02C4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15F63" w:rsidRPr="00E128A2">
        <w:rPr>
          <w:rFonts w:ascii="Times New Roman" w:hAnsi="Times New Roman" w:cs="Times New Roman"/>
          <w:iCs/>
          <w:sz w:val="24"/>
          <w:szCs w:val="24"/>
        </w:rPr>
        <w:t xml:space="preserve">documents d'urbanisme opérationnel, </w:t>
      </w:r>
      <w:r w:rsidR="00915F63" w:rsidRPr="00E128A2">
        <w:rPr>
          <w:rFonts w:ascii="Times New Roman" w:hAnsi="Times New Roman" w:cs="Times New Roman"/>
          <w:sz w:val="24"/>
          <w:szCs w:val="24"/>
        </w:rPr>
        <w:t>les plans de lotissement,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sz w:val="24"/>
          <w:szCs w:val="24"/>
        </w:rPr>
        <w:t>de morcellement, de restructuration, de rénovation, de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sz w:val="24"/>
          <w:szCs w:val="24"/>
        </w:rPr>
        <w:t>remembrement et d'une manière générale, le détail des opérations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sz w:val="24"/>
          <w:szCs w:val="24"/>
        </w:rPr>
        <w:t>d'urbanisme ;</w:t>
      </w:r>
    </w:p>
    <w:p w:rsidR="007B0522" w:rsidRPr="00E128A2" w:rsidRDefault="007B0522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5F63" w:rsidRPr="00E128A2" w:rsidRDefault="008B02C4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F63" w:rsidRPr="00E128A2">
        <w:rPr>
          <w:rFonts w:ascii="Times New Roman" w:hAnsi="Times New Roman" w:cs="Times New Roman"/>
          <w:iCs/>
          <w:sz w:val="24"/>
          <w:szCs w:val="24"/>
        </w:rPr>
        <w:t>documents d'urbanisme prévisionnel ou plans d’urbanisme,</w:t>
      </w:r>
      <w:r w:rsidR="007B0522" w:rsidRPr="00E128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sz w:val="24"/>
          <w:szCs w:val="24"/>
        </w:rPr>
        <w:t>les outils de planification urbaine, à savoir le schéma directeur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sz w:val="24"/>
          <w:szCs w:val="24"/>
        </w:rPr>
        <w:t>d’urbanisme, le plan d’urbanisme directeur, le schéma de structure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sz w:val="24"/>
          <w:szCs w:val="24"/>
        </w:rPr>
        <w:t>et le Plan d’urbanisme de détail ;</w:t>
      </w:r>
    </w:p>
    <w:p w:rsidR="00915F63" w:rsidRPr="00E128A2" w:rsidRDefault="008B02C4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F63" w:rsidRPr="00E128A2">
        <w:rPr>
          <w:rFonts w:ascii="Times New Roman" w:hAnsi="Times New Roman" w:cs="Times New Roman"/>
          <w:iCs/>
          <w:sz w:val="24"/>
          <w:szCs w:val="24"/>
        </w:rPr>
        <w:t xml:space="preserve">documents d'urbanisme réglementaire, </w:t>
      </w:r>
      <w:r w:rsidR="00915F63" w:rsidRPr="00E128A2">
        <w:rPr>
          <w:rFonts w:ascii="Times New Roman" w:hAnsi="Times New Roman" w:cs="Times New Roman"/>
          <w:sz w:val="24"/>
          <w:szCs w:val="24"/>
        </w:rPr>
        <w:t>l’ensemble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sz w:val="24"/>
          <w:szCs w:val="24"/>
        </w:rPr>
        <w:t>règles et institutions établies pour discipliner la croissance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sz w:val="24"/>
          <w:szCs w:val="24"/>
        </w:rPr>
        <w:t>urbaine et le développement urbain. Ce sont notamment, le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sz w:val="24"/>
          <w:szCs w:val="24"/>
        </w:rPr>
        <w:t>certificat d’urbanisme, le règlement général ou particulier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sz w:val="24"/>
          <w:szCs w:val="24"/>
        </w:rPr>
        <w:t>d’urbanisme, les règles générales d’occupation du sol, le permis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sz w:val="24"/>
          <w:szCs w:val="24"/>
        </w:rPr>
        <w:t>de construire, l’accord préalable d’urbanisme, le certificat de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sz w:val="24"/>
          <w:szCs w:val="24"/>
        </w:rPr>
        <w:t>conformité</w:t>
      </w:r>
    </w:p>
    <w:p w:rsidR="00915F63" w:rsidRPr="00E128A2" w:rsidRDefault="00915F63" w:rsidP="00E128A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02C4" w:rsidRPr="008B02C4" w:rsidRDefault="008B02C4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02C4">
        <w:rPr>
          <w:rFonts w:ascii="Times New Roman" w:hAnsi="Times New Roman" w:cs="Times New Roman"/>
          <w:b/>
          <w:iCs/>
          <w:sz w:val="24"/>
          <w:szCs w:val="24"/>
        </w:rPr>
        <w:t>Arrêté de concession définitive.</w:t>
      </w:r>
    </w:p>
    <w:p w:rsidR="00915F63" w:rsidRPr="00E128A2" w:rsidRDefault="00915F63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02C4" w:rsidRPr="00E128A2">
        <w:rPr>
          <w:rFonts w:ascii="Times New Roman" w:hAnsi="Times New Roman" w:cs="Times New Roman"/>
          <w:sz w:val="24"/>
          <w:szCs w:val="24"/>
        </w:rPr>
        <w:t>L’acte</w:t>
      </w:r>
      <w:r w:rsidRPr="00E128A2">
        <w:rPr>
          <w:rFonts w:ascii="Times New Roman" w:hAnsi="Times New Roman" w:cs="Times New Roman"/>
          <w:sz w:val="24"/>
          <w:szCs w:val="24"/>
        </w:rPr>
        <w:t xml:space="preserve"> administratif par</w:t>
      </w:r>
      <w:r w:rsidR="008B02C4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lequel le ministre chargé de l’Urbanisme ou le préfet transfère la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propriété d’une parcelle de terrain urbain relevant du domaine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privé de l’Etat à une personne physique ou morale</w:t>
      </w:r>
    </w:p>
    <w:p w:rsidR="00915F63" w:rsidRPr="00E128A2" w:rsidRDefault="00915F63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2C4" w:rsidRPr="008B02C4" w:rsidRDefault="007B0522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02C4">
        <w:rPr>
          <w:rFonts w:ascii="Times New Roman" w:hAnsi="Times New Roman" w:cs="Times New Roman"/>
          <w:b/>
          <w:iCs/>
          <w:sz w:val="24"/>
          <w:szCs w:val="24"/>
        </w:rPr>
        <w:t>Lotissement</w:t>
      </w:r>
      <w:r w:rsidR="008B02C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915F63" w:rsidRPr="008B02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5F63" w:rsidRPr="00E128A2" w:rsidRDefault="008B02C4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15F63" w:rsidRPr="00E128A2">
        <w:rPr>
          <w:rFonts w:ascii="Times New Roman" w:hAnsi="Times New Roman" w:cs="Times New Roman"/>
          <w:b/>
          <w:bCs/>
          <w:sz w:val="24"/>
          <w:szCs w:val="24"/>
        </w:rPr>
        <w:t>'opération d'urbanisme qui a pour objet ou pour</w:t>
      </w:r>
      <w:r w:rsidR="007B0522" w:rsidRPr="00E12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b/>
          <w:bCs/>
          <w:sz w:val="24"/>
          <w:szCs w:val="24"/>
        </w:rPr>
        <w:t xml:space="preserve">effet la division volontaire </w:t>
      </w:r>
      <w:r w:rsidR="00915F63" w:rsidRPr="00E12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en lots d'une ou plusieurs propriétés</w:t>
      </w:r>
      <w:r w:rsidR="007B0522" w:rsidRPr="00E12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b/>
          <w:bCs/>
          <w:sz w:val="24"/>
          <w:szCs w:val="24"/>
        </w:rPr>
        <w:t>foncières, destinés à usage d'habitation, de jardin, d'établissement</w:t>
      </w:r>
      <w:r w:rsidR="007B0522" w:rsidRPr="00E12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b/>
          <w:bCs/>
          <w:sz w:val="24"/>
          <w:szCs w:val="24"/>
        </w:rPr>
        <w:t xml:space="preserve">industriel ou commercial ou de tout autre équipement </w:t>
      </w:r>
      <w:r w:rsidR="000F06D7" w:rsidRPr="00E128A2">
        <w:rPr>
          <w:rFonts w:ascii="Times New Roman" w:hAnsi="Times New Roman" w:cs="Times New Roman"/>
          <w:b/>
          <w:bCs/>
          <w:sz w:val="24"/>
          <w:szCs w:val="24"/>
        </w:rPr>
        <w:t>socio collectif</w:t>
      </w:r>
      <w:r w:rsidR="007B0522" w:rsidRPr="00E12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F63" w:rsidRPr="00E128A2">
        <w:rPr>
          <w:rFonts w:ascii="Times New Roman" w:hAnsi="Times New Roman" w:cs="Times New Roman"/>
          <w:b/>
          <w:bCs/>
          <w:sz w:val="24"/>
          <w:szCs w:val="24"/>
        </w:rPr>
        <w:t>en vue de la vente</w:t>
      </w:r>
      <w:r w:rsidR="000F06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5F63" w:rsidRPr="00E128A2" w:rsidRDefault="00915F63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5F63" w:rsidRPr="00E128A2" w:rsidRDefault="00915F63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0B81" w:rsidRPr="00E128A2" w:rsidRDefault="00310B8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4. — L’Etat et les collectivités territoriales ont le devoir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de planifier et d'organiser l'utilisation du sol en vue d'assurer, sans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discrimination défavorable, aux populations, des conditions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durables et optimales de vie, d'habitat, de circulation et d'offres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de services publics répondant à la diversité de leurs besoins.</w:t>
      </w:r>
    </w:p>
    <w:p w:rsidR="00310B81" w:rsidRPr="00E128A2" w:rsidRDefault="00310B81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B81" w:rsidRPr="00E128A2" w:rsidRDefault="00310B8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5. — L'Etat et les collectivités territoriales ont également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le devoir d’aménager le cadre de vie des populations sur le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territoire national.</w:t>
      </w:r>
    </w:p>
    <w:p w:rsidR="00310B81" w:rsidRPr="00E128A2" w:rsidRDefault="00310B81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B81" w:rsidRPr="00E128A2" w:rsidRDefault="00310B8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7. — Le ministère en charge de l'Urbanisme organise et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 xml:space="preserve">gère l’activité </w:t>
      </w:r>
      <w:r w:rsidR="007B0522" w:rsidRPr="00E128A2">
        <w:rPr>
          <w:rFonts w:ascii="Times New Roman" w:hAnsi="Times New Roman" w:cs="Times New Roman"/>
          <w:sz w:val="24"/>
          <w:szCs w:val="24"/>
        </w:rPr>
        <w:t>d’urbanisme</w:t>
      </w:r>
      <w:r w:rsidRPr="00E128A2">
        <w:rPr>
          <w:rFonts w:ascii="Times New Roman" w:hAnsi="Times New Roman" w:cs="Times New Roman"/>
          <w:sz w:val="24"/>
          <w:szCs w:val="24"/>
        </w:rPr>
        <w:t xml:space="preserve"> sur l'ensemble du territoire national.</w:t>
      </w:r>
    </w:p>
    <w:p w:rsidR="007B0522" w:rsidRPr="00E128A2" w:rsidRDefault="007B0522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0B81" w:rsidRPr="00E128A2" w:rsidRDefault="00310B8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8. — Les structures consultatives ci-après, sont créées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par décret dans le domaine de la Construction, de l’Habitat et de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l’Urbanisme :</w:t>
      </w:r>
    </w:p>
    <w:p w:rsidR="00310B81" w:rsidRPr="00E128A2" w:rsidRDefault="00310B8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— le Conseil national de la Construction, de l’Habitat et de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l’Urbanisme ;</w:t>
      </w:r>
    </w:p>
    <w:p w:rsidR="00310B81" w:rsidRPr="00E128A2" w:rsidRDefault="00310B8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— les Commissions régionales de la Construction, de l’Habitat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et de l’Urbanisme.</w:t>
      </w:r>
    </w:p>
    <w:p w:rsidR="00310B81" w:rsidRPr="00E128A2" w:rsidRDefault="00310B8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Ces structures appuient les activités du ministère en charge de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la Construction, de l’Habitat et de l’Urbanisme dans la mise en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œuvre</w:t>
      </w:r>
      <w:r w:rsidRPr="00E128A2">
        <w:rPr>
          <w:rFonts w:ascii="Times New Roman" w:hAnsi="Times New Roman" w:cs="Times New Roman"/>
          <w:sz w:val="24"/>
          <w:szCs w:val="24"/>
        </w:rPr>
        <w:t xml:space="preserve"> de la politique nationale de la Construction, de l’Habitat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et de l’Urbanisme.</w:t>
      </w:r>
    </w:p>
    <w:p w:rsidR="00310B81" w:rsidRPr="00E128A2" w:rsidRDefault="00310B81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B81" w:rsidRPr="00E128A2" w:rsidRDefault="00310B8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10. — Au titre de la présente loi, les documents d'urbanisme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prévisionnel sont notamment :</w:t>
      </w:r>
    </w:p>
    <w:p w:rsidR="00310B81" w:rsidRPr="00E128A2" w:rsidRDefault="00310B8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— le schéma directeur d’urbanisme ;</w:t>
      </w:r>
    </w:p>
    <w:p w:rsidR="00310B81" w:rsidRPr="00E128A2" w:rsidRDefault="00310B8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 xml:space="preserve">— le plan </w:t>
      </w:r>
      <w:r w:rsidR="007B0522" w:rsidRPr="00E128A2">
        <w:rPr>
          <w:rFonts w:ascii="Times New Roman" w:hAnsi="Times New Roman" w:cs="Times New Roman"/>
          <w:sz w:val="24"/>
          <w:szCs w:val="24"/>
        </w:rPr>
        <w:t>d’urbanisme</w:t>
      </w:r>
      <w:r w:rsidRPr="00E128A2">
        <w:rPr>
          <w:rFonts w:ascii="Times New Roman" w:hAnsi="Times New Roman" w:cs="Times New Roman"/>
          <w:sz w:val="24"/>
          <w:szCs w:val="24"/>
        </w:rPr>
        <w:t xml:space="preserve"> directeur ;</w:t>
      </w:r>
    </w:p>
    <w:p w:rsidR="00310B81" w:rsidRPr="00E128A2" w:rsidRDefault="00310B8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— le schéma de structure ;</w:t>
      </w:r>
    </w:p>
    <w:p w:rsidR="00310B81" w:rsidRPr="00E128A2" w:rsidRDefault="00310B81" w:rsidP="00E128A2">
      <w:pPr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— le plan d'urbanisme de détail.</w:t>
      </w:r>
    </w:p>
    <w:p w:rsidR="00310B81" w:rsidRPr="00E128A2" w:rsidRDefault="00310B81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B81" w:rsidRPr="00E128A2" w:rsidRDefault="00310B8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lastRenderedPageBreak/>
        <w:t>Art. 62. — Le périmètre de réalisation de toute opération</w:t>
      </w:r>
      <w:r w:rsidR="00AC6E70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d'urbanisme initiée par le ministère en charge de l’urbanisme ou les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collectivités territoriales est déclaré d'utilité publique de plein droit.</w:t>
      </w:r>
    </w:p>
    <w:p w:rsidR="00C93A54" w:rsidRPr="00E128A2" w:rsidRDefault="00C93A54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A54" w:rsidRPr="00E128A2" w:rsidRDefault="00C93A54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63. — Les opérations d'urbanisme projetées par les</w:t>
      </w:r>
      <w:r w:rsidR="002B05E1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collectivités territoriales doivent être autorisées par leur</w:t>
      </w:r>
      <w:r w:rsidR="002B05E1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organe délibérant après avis conforme du ministre chargé de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l’Urbanisme.</w:t>
      </w:r>
    </w:p>
    <w:p w:rsidR="007B0522" w:rsidRPr="00E128A2" w:rsidRDefault="007B0522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3A54" w:rsidRPr="00E128A2" w:rsidRDefault="00C93A54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64. — Les opérations d'urbanisme initiées par le ministère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en charge de l’Urbanisme sur un territoire communal donné sont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effectuées après avis consultatif de son Conseil municipal.</w:t>
      </w:r>
    </w:p>
    <w:p w:rsidR="00C93A54" w:rsidRPr="00E128A2" w:rsidRDefault="00C93A54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A54" w:rsidRPr="00E128A2" w:rsidRDefault="00C93A54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65. — Les plans relatifs aux opérations d'urbanisme sont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établis par un urbaniste agréé et inscrit à l'Ordre national des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urbanistes de Côte d'Ivoire ou par un Bureau d'études public de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compétence reconnue en matière d'urbanisme.</w:t>
      </w:r>
    </w:p>
    <w:p w:rsidR="00C93A54" w:rsidRPr="00E128A2" w:rsidRDefault="00C93A54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A54" w:rsidRPr="00E128A2" w:rsidRDefault="00C93A54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72. — Les réserves foncières sont constituées par la purge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des droits d'usage coutumiers, l'expropriation pour cause d'utilité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publique et l’exercice par l’Etat de son droit de préemption.</w:t>
      </w:r>
    </w:p>
    <w:p w:rsidR="00622E82" w:rsidRPr="00E128A2" w:rsidRDefault="00622E82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E82" w:rsidRPr="00E128A2" w:rsidRDefault="00622E82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79. — L'Etat et les collectivités territoriales peuvent concéder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à un opérateur public ou privé, la mission d'aménager des terrains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déterminés et délimités, préalablement libérés de tous droits et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occupations antérieurs.</w:t>
      </w:r>
    </w:p>
    <w:p w:rsidR="00622E82" w:rsidRPr="00E128A2" w:rsidRDefault="00622E82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E82" w:rsidRPr="00E128A2" w:rsidRDefault="00622E82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b/>
          <w:bCs/>
          <w:sz w:val="24"/>
          <w:szCs w:val="24"/>
        </w:rPr>
        <w:t xml:space="preserve">Section 7. — </w:t>
      </w:r>
      <w:r w:rsidRPr="00E128A2">
        <w:rPr>
          <w:rFonts w:ascii="Times New Roman" w:hAnsi="Times New Roman" w:cs="Times New Roman"/>
          <w:sz w:val="24"/>
          <w:szCs w:val="24"/>
        </w:rPr>
        <w:t>les lotissements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Il existe trois types de lotissements :</w:t>
      </w:r>
    </w:p>
    <w:p w:rsidR="00622E82" w:rsidRPr="00E128A2" w:rsidRDefault="00622E82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— le lotissement administratif initié par le sous-préfet ou le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maire ;</w:t>
      </w:r>
    </w:p>
    <w:p w:rsidR="00622E82" w:rsidRPr="00E128A2" w:rsidRDefault="00622E82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— le lotissement privé d’habitation initié par un propriétaire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 xml:space="preserve">privé en vue de la production de terrains à usage </w:t>
      </w:r>
      <w:r w:rsidR="002B05E1" w:rsidRPr="00E128A2">
        <w:rPr>
          <w:rFonts w:ascii="Times New Roman" w:hAnsi="Times New Roman" w:cs="Times New Roman"/>
          <w:sz w:val="24"/>
          <w:szCs w:val="24"/>
        </w:rPr>
        <w:t>d’habitation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destinés à être vendus nus ou après exécution d’une opération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immobilière ;</w:t>
      </w:r>
    </w:p>
    <w:p w:rsidR="00622E82" w:rsidRPr="00E128A2" w:rsidRDefault="00622E82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— le lotissement rural effectué, sur tout terrain non immatriculé,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 xml:space="preserve">pour le compte d’une ou plusieurs communauté (s) </w:t>
      </w:r>
      <w:r w:rsidRPr="00E128A2">
        <w:rPr>
          <w:rFonts w:ascii="Times New Roman" w:hAnsi="Times New Roman" w:cs="Times New Roman"/>
          <w:sz w:val="24"/>
          <w:szCs w:val="24"/>
        </w:rPr>
        <w:lastRenderedPageBreak/>
        <w:t>villageoise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(s), à la demande de celles (s)- ci.</w:t>
      </w:r>
      <w:r w:rsidR="002B05E1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 xml:space="preserve">Les procédures </w:t>
      </w:r>
      <w:r w:rsidR="007B0522" w:rsidRPr="00E128A2">
        <w:rPr>
          <w:rFonts w:ascii="Times New Roman" w:hAnsi="Times New Roman" w:cs="Times New Roman"/>
          <w:sz w:val="24"/>
          <w:szCs w:val="24"/>
        </w:rPr>
        <w:t>d’approbation</w:t>
      </w:r>
      <w:r w:rsidRPr="00E128A2">
        <w:rPr>
          <w:rFonts w:ascii="Times New Roman" w:hAnsi="Times New Roman" w:cs="Times New Roman"/>
          <w:sz w:val="24"/>
          <w:szCs w:val="24"/>
        </w:rPr>
        <w:t xml:space="preserve"> des plans de lotissement sont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déterminées par décret.</w:t>
      </w:r>
    </w:p>
    <w:p w:rsidR="00622E82" w:rsidRPr="00E128A2" w:rsidRDefault="00622E82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E82" w:rsidRPr="00E128A2" w:rsidRDefault="00622E82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94. — Tout projet de lotissement est assujetti à l’obtention</w:t>
      </w:r>
      <w:r w:rsidR="007B052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de l’accord préalable du ministre chargé de l’Urbanisme.</w:t>
      </w:r>
    </w:p>
    <w:p w:rsidR="0028485F" w:rsidRPr="00E128A2" w:rsidRDefault="0028485F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85F" w:rsidRPr="00E128A2" w:rsidRDefault="0028485F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95. — L’arrêté d’autorisation de lotir doit être publié dans</w:t>
      </w:r>
      <w:r w:rsidR="00C34AAA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les sous-préfectures et les mairies des localités concernées</w:t>
      </w:r>
      <w:r w:rsidR="00C34AAA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jusqu’à la fin des opérations de lotissement.</w:t>
      </w:r>
    </w:p>
    <w:p w:rsidR="0028485F" w:rsidRPr="00E128A2" w:rsidRDefault="0028485F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AAA" w:rsidRPr="00E128A2" w:rsidRDefault="00C34AAA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AAA" w:rsidRPr="00E128A2" w:rsidRDefault="00C34AAA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485F" w:rsidRPr="00E128A2" w:rsidRDefault="0028485F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8A2">
        <w:rPr>
          <w:rFonts w:ascii="Times New Roman" w:hAnsi="Times New Roman" w:cs="Times New Roman"/>
          <w:b/>
          <w:bCs/>
          <w:sz w:val="24"/>
          <w:szCs w:val="24"/>
        </w:rPr>
        <w:t>SANCTIONS DES ACTIVITES D'URBANISME</w:t>
      </w:r>
    </w:p>
    <w:p w:rsidR="00C34AAA" w:rsidRPr="00E128A2" w:rsidRDefault="00C34AAA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AAA" w:rsidRPr="00E128A2" w:rsidRDefault="0028485F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282. — Est puni d'une peine d’emprisonnement de deux</w:t>
      </w:r>
      <w:r w:rsidR="00C34AAA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 xml:space="preserve">mois à deux ans et d’une amende de 2 000 </w:t>
      </w:r>
      <w:proofErr w:type="spellStart"/>
      <w:r w:rsidRPr="00E128A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E128A2">
        <w:rPr>
          <w:rFonts w:ascii="Times New Roman" w:hAnsi="Times New Roman" w:cs="Times New Roman"/>
          <w:sz w:val="24"/>
          <w:szCs w:val="24"/>
        </w:rPr>
        <w:t xml:space="preserve"> à </w:t>
      </w:r>
    </w:p>
    <w:p w:rsidR="0028485F" w:rsidRPr="00E128A2" w:rsidRDefault="0028485F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 xml:space="preserve">20 000 </w:t>
      </w:r>
      <w:proofErr w:type="spellStart"/>
      <w:r w:rsidRPr="00E128A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E128A2">
        <w:rPr>
          <w:rFonts w:ascii="Times New Roman" w:hAnsi="Times New Roman" w:cs="Times New Roman"/>
          <w:sz w:val="24"/>
          <w:szCs w:val="24"/>
        </w:rPr>
        <w:t xml:space="preserve"> de</w:t>
      </w:r>
      <w:r w:rsidR="00C34AAA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francs, quiconque aura réalisé une opération d'urbanisme, sans</w:t>
      </w:r>
      <w:r w:rsidR="00C34AAA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approbation préalable de l’autorité compétente.</w:t>
      </w:r>
    </w:p>
    <w:p w:rsidR="00E128A2" w:rsidRPr="00E128A2" w:rsidRDefault="00E128A2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485F" w:rsidRPr="00E128A2" w:rsidRDefault="0028485F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283. — Sont considérés comme complices de l'infraction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prévue à l'article précédent, le maître d'ouvrage, l'entrepreneur,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l'urbaniste, le géomètre, le topographe ou tout autre maître d'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œuvre </w:t>
      </w:r>
      <w:r w:rsidRPr="00E128A2">
        <w:rPr>
          <w:rFonts w:ascii="Times New Roman" w:hAnsi="Times New Roman" w:cs="Times New Roman"/>
          <w:sz w:val="24"/>
          <w:szCs w:val="24"/>
        </w:rPr>
        <w:t>qui aura participé à la réalisation de l'opération d'urbanisme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considérée.</w:t>
      </w:r>
    </w:p>
    <w:p w:rsidR="00E128A2" w:rsidRPr="00E128A2" w:rsidRDefault="00E128A2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485F" w:rsidRPr="00E128A2" w:rsidRDefault="0028485F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284. — Outre la sanction prévue à l'article 284 ci-dessus,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il doit être ordonné dans un délai prescrit par le tribunal compétent,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l'interruption des travaux et la remise en l'état primitif des lieux.</w:t>
      </w:r>
    </w:p>
    <w:p w:rsidR="00593731" w:rsidRPr="00E128A2" w:rsidRDefault="00593731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731" w:rsidRPr="00E128A2" w:rsidRDefault="0059373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293. — Les occupants sans titre des terrains bâtis et</w:t>
      </w:r>
      <w:r w:rsidR="00A371CB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habités paisiblement depuis plus de vingt ans disposent d’un délai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de 2 ans, à compter de l’entrée en vigueur de la présente loi pour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solliciter leur régularisation auprès des services compétents du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ministère en charge de l’Urbanisme.</w:t>
      </w:r>
    </w:p>
    <w:p w:rsidR="00593731" w:rsidRPr="00E128A2" w:rsidRDefault="00593731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731" w:rsidRPr="00E128A2" w:rsidRDefault="0059373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lastRenderedPageBreak/>
        <w:t>Art. 294. — Les procédures engagées sous l'empire des textes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antérieurs sont poursuivies et donnent lieu, après achèvement, à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l'établissement des actes domaniaux dans les conditions et formes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déterminées par la présente loi.</w:t>
      </w:r>
    </w:p>
    <w:p w:rsidR="00E128A2" w:rsidRPr="00E128A2" w:rsidRDefault="00E128A2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3731" w:rsidRPr="00E128A2" w:rsidRDefault="0059373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 xml:space="preserve">Art. 295. — Les détenteurs de droits </w:t>
      </w:r>
      <w:r w:rsidR="00E128A2" w:rsidRPr="00E128A2">
        <w:rPr>
          <w:rFonts w:ascii="Times New Roman" w:hAnsi="Times New Roman" w:cs="Times New Roman"/>
          <w:sz w:val="24"/>
          <w:szCs w:val="24"/>
        </w:rPr>
        <w:t>d’attribution</w:t>
      </w:r>
      <w:r w:rsidRPr="00E128A2">
        <w:rPr>
          <w:rFonts w:ascii="Times New Roman" w:hAnsi="Times New Roman" w:cs="Times New Roman"/>
          <w:sz w:val="24"/>
          <w:szCs w:val="24"/>
        </w:rPr>
        <w:t xml:space="preserve"> ou de</w:t>
      </w:r>
      <w:r w:rsidR="00A371CB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concession provisoire sur des terrains urbains non immatriculés,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non mis en valeur ou insuffisamment mis en valeur, doivent à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compter de l'entrée en vigueur de la présente loi, procéder à leur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immatriculation et/ou à leur mise en valeur, sous peine de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déchéance de leurs droits.</w:t>
      </w:r>
    </w:p>
    <w:p w:rsidR="00593731" w:rsidRPr="00E128A2" w:rsidRDefault="00593731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731" w:rsidRPr="00E128A2" w:rsidRDefault="0059373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296. — La procédure de déchéance est soumise aux</w:t>
      </w:r>
      <w:r w:rsidR="00A371CB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conditions cumulatives suivantes :</w:t>
      </w:r>
    </w:p>
    <w:p w:rsidR="00E128A2" w:rsidRPr="00E128A2" w:rsidRDefault="00E128A2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3731" w:rsidRPr="00E128A2" w:rsidRDefault="0059373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— le con</w:t>
      </w:r>
      <w:r w:rsidR="00E128A2" w:rsidRPr="00E128A2">
        <w:rPr>
          <w:rFonts w:ascii="Times New Roman" w:hAnsi="Times New Roman" w:cs="Times New Roman"/>
          <w:sz w:val="24"/>
          <w:szCs w:val="24"/>
        </w:rPr>
        <w:t>stat de non mise en valeur ou d</w:t>
      </w:r>
      <w:r w:rsidRPr="00E128A2">
        <w:rPr>
          <w:rFonts w:ascii="Times New Roman" w:hAnsi="Times New Roman" w:cs="Times New Roman"/>
          <w:sz w:val="24"/>
          <w:szCs w:val="24"/>
        </w:rPr>
        <w:t>’insuffisance de mise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en valeur ;</w:t>
      </w:r>
    </w:p>
    <w:p w:rsidR="00593731" w:rsidRPr="00E128A2" w:rsidRDefault="0059373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— la mise en demeure de déchéance impartissant au titulaire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de droits un nouveau délai de mise en valeur ;</w:t>
      </w:r>
    </w:p>
    <w:p w:rsidR="00593731" w:rsidRDefault="0059373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— le constat du non-respect de l’injonction de mise en valeur</w:t>
      </w:r>
      <w:r w:rsidR="00A371CB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dans le nouveau délai imparti.</w:t>
      </w:r>
    </w:p>
    <w:p w:rsidR="00A371CB" w:rsidRPr="00E128A2" w:rsidRDefault="00A371CB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3731" w:rsidRPr="00E128A2" w:rsidRDefault="0059373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297. — La déchéance est prononcée par le ministre chargé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de l'Urbanisme. Sur délégation de pouvoir du ministre, elle peut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être prononcée par le préfet.</w:t>
      </w:r>
    </w:p>
    <w:p w:rsidR="00593731" w:rsidRPr="00E128A2" w:rsidRDefault="00593731" w:rsidP="00E12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731" w:rsidRPr="00E128A2" w:rsidRDefault="0059373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Art. 302. — La présente loi abroge toutes les dispositions</w:t>
      </w:r>
      <w:r w:rsidR="00A371CB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antérieures notamment :</w:t>
      </w:r>
    </w:p>
    <w:p w:rsidR="00593731" w:rsidRPr="00E128A2" w:rsidRDefault="0059373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— la loi n° 62-253 du 31 juillet 1962 relative aux plans</w:t>
      </w:r>
      <w:r w:rsidR="00A371CB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d'urbanisme ;</w:t>
      </w:r>
    </w:p>
    <w:p w:rsidR="00593731" w:rsidRPr="00E128A2" w:rsidRDefault="0059373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— l’ordonnance n° 2013-481 du 2 juillet 2013 fixant les</w:t>
      </w:r>
      <w:r w:rsidR="00A371CB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règles d’acquisition de la propriété des terrains urbains, telle que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modifiée par l’ordonnance n° 2018-357 du 29 mars 2018.</w:t>
      </w:r>
    </w:p>
    <w:p w:rsidR="00E128A2" w:rsidRPr="00E128A2" w:rsidRDefault="00E128A2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3731" w:rsidRPr="00E128A2" w:rsidRDefault="0059373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 xml:space="preserve">Art. 303. — La présente loi sera publiée au </w:t>
      </w:r>
      <w:r w:rsidRPr="00E128A2">
        <w:rPr>
          <w:rFonts w:ascii="Times New Roman" w:hAnsi="Times New Roman" w:cs="Times New Roman"/>
          <w:iCs/>
          <w:sz w:val="24"/>
          <w:szCs w:val="24"/>
        </w:rPr>
        <w:t xml:space="preserve">Journal officiel </w:t>
      </w:r>
      <w:r w:rsidRPr="00E128A2">
        <w:rPr>
          <w:rFonts w:ascii="Times New Roman" w:hAnsi="Times New Roman" w:cs="Times New Roman"/>
          <w:sz w:val="24"/>
          <w:szCs w:val="24"/>
        </w:rPr>
        <w:t>de</w:t>
      </w:r>
      <w:r w:rsidR="00E128A2" w:rsidRPr="00E128A2">
        <w:rPr>
          <w:rFonts w:ascii="Times New Roman" w:hAnsi="Times New Roman" w:cs="Times New Roman"/>
          <w:sz w:val="24"/>
          <w:szCs w:val="24"/>
        </w:rPr>
        <w:t xml:space="preserve"> </w:t>
      </w:r>
      <w:r w:rsidRPr="00E128A2">
        <w:rPr>
          <w:rFonts w:ascii="Times New Roman" w:hAnsi="Times New Roman" w:cs="Times New Roman"/>
          <w:sz w:val="24"/>
          <w:szCs w:val="24"/>
        </w:rPr>
        <w:t>la République de Côte d’ivoire et exécutée comme loi de l’Etat.</w:t>
      </w:r>
    </w:p>
    <w:p w:rsidR="00593731" w:rsidRPr="00E128A2" w:rsidRDefault="00593731" w:rsidP="00E128A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sz w:val="24"/>
          <w:szCs w:val="24"/>
        </w:rPr>
        <w:t>Fait à Abidjan, le 14 août 2020.</w:t>
      </w:r>
    </w:p>
    <w:p w:rsidR="00593731" w:rsidRPr="00E128A2" w:rsidRDefault="00593731" w:rsidP="00E128A2">
      <w:pPr>
        <w:jc w:val="both"/>
        <w:rPr>
          <w:rFonts w:ascii="Times New Roman" w:hAnsi="Times New Roman" w:cs="Times New Roman"/>
          <w:sz w:val="24"/>
          <w:szCs w:val="24"/>
        </w:rPr>
      </w:pPr>
      <w:r w:rsidRPr="00E128A2">
        <w:rPr>
          <w:rFonts w:ascii="Times New Roman" w:hAnsi="Times New Roman" w:cs="Times New Roman"/>
          <w:b/>
          <w:bCs/>
          <w:sz w:val="24"/>
          <w:szCs w:val="24"/>
        </w:rPr>
        <w:t>Alassane OUATTARA.</w:t>
      </w:r>
    </w:p>
    <w:sectPr w:rsidR="00593731" w:rsidRPr="00E128A2" w:rsidSect="00622E8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0B81"/>
    <w:rsid w:val="000F06D7"/>
    <w:rsid w:val="001359C8"/>
    <w:rsid w:val="00191F59"/>
    <w:rsid w:val="00273160"/>
    <w:rsid w:val="0028485F"/>
    <w:rsid w:val="002B05E1"/>
    <w:rsid w:val="00310B81"/>
    <w:rsid w:val="004E3DF1"/>
    <w:rsid w:val="00593731"/>
    <w:rsid w:val="00622E82"/>
    <w:rsid w:val="006537C9"/>
    <w:rsid w:val="006B6C6B"/>
    <w:rsid w:val="00767ABB"/>
    <w:rsid w:val="007B0522"/>
    <w:rsid w:val="008B02C4"/>
    <w:rsid w:val="00915F63"/>
    <w:rsid w:val="00A371CB"/>
    <w:rsid w:val="00A43424"/>
    <w:rsid w:val="00AB4E0E"/>
    <w:rsid w:val="00AC6E70"/>
    <w:rsid w:val="00BF1C33"/>
    <w:rsid w:val="00C34AAA"/>
    <w:rsid w:val="00C93A54"/>
    <w:rsid w:val="00D10BA7"/>
    <w:rsid w:val="00D4646E"/>
    <w:rsid w:val="00DB62FB"/>
    <w:rsid w:val="00E128A2"/>
    <w:rsid w:val="00EB3E6F"/>
    <w:rsid w:val="00EC0403"/>
    <w:rsid w:val="00F4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1204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2022-01-18T12:09:00Z</dcterms:created>
  <dcterms:modified xsi:type="dcterms:W3CDTF">2022-01-18T14:55:00Z</dcterms:modified>
</cp:coreProperties>
</file>